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579" w:lineRule="exact"/>
        <w:ind w:left="0" w:leftChars="0" w:rightChars="0" w:firstLine="0" w:firstLineChars="0"/>
        <w:jc w:val="center"/>
        <w:rPr>
          <w:rFonts w:hint="eastAsia" w:ascii="Times New Roman" w:hAnsi="Times New Roman" w:eastAsia="方正小标宋_GBK" w:cs="方正小标宋_GBK"/>
          <w:b w:val="0"/>
          <w:i w:val="0"/>
          <w:color w:val="000000"/>
          <w:spacing w:val="0"/>
          <w:sz w:val="44"/>
          <w:szCs w:val="44"/>
          <w:lang w:bidi="zh-CN"/>
        </w:rPr>
      </w:pPr>
      <w:r>
        <w:rPr>
          <w:rFonts w:hint="eastAsia" w:ascii="Times New Roman" w:hAnsi="Times New Roman" w:eastAsia="方正小标宋_GBK" w:cs="方正小标宋_GBK"/>
          <w:b w:val="0"/>
          <w:i w:val="0"/>
          <w:color w:val="000000"/>
          <w:spacing w:val="0"/>
          <w:sz w:val="44"/>
          <w:szCs w:val="44"/>
          <w:lang w:bidi="zh-CN"/>
        </w:rPr>
        <w:t>石嘴山市发展和改革委员会期货分析师职位资历量化评分标准 </w:t>
      </w:r>
    </w:p>
    <w:p>
      <w:pPr>
        <w:pStyle w:val="5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Autospacing="0" w:after="0" w:afterAutospacing="0" w:line="579" w:lineRule="exact"/>
        <w:ind w:left="0" w:leftChars="0" w:rightChars="0" w:firstLine="0" w:firstLineChars="0"/>
        <w:jc w:val="center"/>
        <w:rPr>
          <w:rFonts w:hint="eastAsia" w:ascii="Times New Roman" w:hAnsi="Times New Roman" w:eastAsia="方正小标宋_GBK" w:cs="方正小标宋_GBK"/>
          <w:b w:val="0"/>
          <w:i w:val="0"/>
          <w:color w:val="000000"/>
          <w:spacing w:val="0"/>
          <w:sz w:val="44"/>
          <w:szCs w:val="44"/>
          <w:lang w:bidi="zh-CN"/>
        </w:rPr>
      </w:pPr>
    </w:p>
    <w:tbl>
      <w:tblPr>
        <w:tblStyle w:val="3"/>
        <w:tblW w:w="132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710"/>
        <w:gridCol w:w="992"/>
        <w:gridCol w:w="95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/>
              </w:rPr>
              <w:t>评分项目及分值</w:t>
            </w:r>
          </w:p>
        </w:tc>
        <w:tc>
          <w:tcPr>
            <w:tcW w:w="9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/>
              </w:rPr>
              <w:t>评分说明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7" w:hRule="atLeast"/>
          <w:jc w:val="center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背景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学历学位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20-30</w:t>
            </w:r>
          </w:p>
        </w:tc>
        <w:tc>
          <w:tcPr>
            <w:tcW w:w="9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基本分（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分）：通过资格审查人员均得基本分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加分项（以下5项得分可累加，但最高加分不得超过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1.硕士阶段为全日制的，加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2.博士阶段为全日制的，加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3.本科阶段985、211或“双一流”院校的，加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4.硕士阶段为985、211或“双一流”院校的，加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5.博士阶段为985、211或“双一流”院校的，加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1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所学专业与职位的契合度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20-30</w:t>
            </w:r>
          </w:p>
        </w:tc>
        <w:tc>
          <w:tcPr>
            <w:tcW w:w="9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基本分（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分）：通过资格审查人员均得基本分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加分项（以下3项得分可累加，但最高加分不得超过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1.本科专业为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经济学类、金融学类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专业的加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2.硕士专业为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经济学类、金融学类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专业的加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分；（双学位按专业最高得分计算，不累计）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3.博士专业为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经济学类、金融学类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专业的加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分。（双学位按专业最高得分计算，不累计）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  <w:jc w:val="center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职称及职业资格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20-30</w:t>
            </w:r>
          </w:p>
        </w:tc>
        <w:tc>
          <w:tcPr>
            <w:tcW w:w="95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基本分（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分）：通过资格审查人员均得基本分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加分项（以下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项得分可累加，但最高加分不得超过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期货从业资格证书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2.取得基金从业人员资格证书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证券从业资格证书得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业绩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工作经历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15-30</w:t>
            </w:r>
          </w:p>
        </w:tc>
        <w:tc>
          <w:tcPr>
            <w:tcW w:w="9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基础分（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分）：通过资格审查人员均得基础分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加分项（以下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项得分可累加，但最高加分不得超过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1.在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金融机构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从事期货交易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工作年限超过5年的每多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年加1分，最高加分不得超过得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个人从事期货交易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年限超过5年的每多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年加1分，最高加分不得超过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投融资项目经验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15-30</w:t>
            </w:r>
          </w:p>
        </w:tc>
        <w:tc>
          <w:tcPr>
            <w:tcW w:w="9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基础分（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分）：通过资格审查人员均得基础分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加分项（以下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项得分可累加，但最高加分不得超过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1.担任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经济分析、投融资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相关项目管理人员得3分，担任主要负责人得5分；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2.有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2个经济分析、投融资等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相关项目工作经历得2分，每多一个项目加1分，最高加分不得超过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分；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Droid Sans Fallback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ED42A55"/>
    <w:rsid w:val="3D1C39BA"/>
    <w:rsid w:val="44942A12"/>
    <w:rsid w:val="5EAE0CC2"/>
    <w:rsid w:val="7ED42A55"/>
    <w:rsid w:val="D1EAD134"/>
    <w:rsid w:val="FFB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Body text|51"/>
    <w:basedOn w:val="1"/>
    <w:qFormat/>
    <w:uiPriority w:val="0"/>
    <w:pPr>
      <w:shd w:val="clear" w:color="auto" w:fill="FFFFFF"/>
      <w:spacing w:after="260" w:line="300" w:lineRule="exact"/>
      <w:ind w:hanging="220"/>
    </w:pPr>
    <w:rPr>
      <w:rFonts w:ascii="PMingLiU" w:hAnsi="PMingLiU" w:eastAsia="PMingLiU"/>
      <w:color w:val="auto"/>
      <w:spacing w:val="30"/>
      <w:sz w:val="30"/>
      <w:szCs w:val="3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2024-04-14T18:36:00Z</dcterms:created>
  <dc:creator>小宝</dc:creator>
  <cp:lastModifiedBy>kylin</cp:lastModifiedBy>
  <cp:lastPrinted>2024-04-15T09:59:16Z</cp:lastPrinted>
  <dcterms:modified xsi:type="dcterms:W3CDTF">2024-04-15T10:17:24Z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71070576660E49428DF6021883B4EC17_11</vt:lpwstr>
  </property>
</Properties>
</file>